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СТАРОКОПСКОГО СЕЛЬСОВЕТА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22.</w:t>
      </w:r>
      <w:r>
        <w:rPr>
          <w:rFonts w:hint="default"/>
          <w:sz w:val="28"/>
          <w:szCs w:val="28"/>
          <w:lang w:val="ru-RU"/>
        </w:rPr>
        <w:t>11</w:t>
      </w:r>
      <w:r>
        <w:rPr>
          <w:sz w:val="28"/>
          <w:szCs w:val="28"/>
        </w:rPr>
        <w:t xml:space="preserve">.2023 г.                          с. Старая Копь                            № </w:t>
      </w:r>
      <w:r>
        <w:rPr>
          <w:rFonts w:hint="default"/>
          <w:sz w:val="28"/>
          <w:szCs w:val="28"/>
          <w:lang w:val="ru-RU"/>
        </w:rPr>
        <w:t>37</w:t>
      </w:r>
      <w:r>
        <w:rPr>
          <w:sz w:val="28"/>
          <w:szCs w:val="28"/>
        </w:rPr>
        <w:t>-П</w:t>
      </w:r>
    </w:p>
    <w:p>
      <w:pPr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 введении дополнительных кодов подвидов доходов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ст.20 (п.п.2,9) Бюджетного кодекса Российской Федерации, до внесения очередных корректировок в постановление Старокопского сельского Совета депутатов от 18.01.2023  № 2-П «</w:t>
      </w:r>
      <w:r>
        <w:rPr>
          <w:sz w:val="28"/>
          <w:szCs w:val="20"/>
        </w:rPr>
        <w:t>Об утверждении перечня главных администраторов доходов</w:t>
      </w:r>
      <w:r>
        <w:rPr>
          <w:sz w:val="28"/>
          <w:szCs w:val="28"/>
        </w:rPr>
        <w:t>»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1.Ввести дополнительные коды подвидов доходов БК, администрируемые Администрацией Старокопского сельсовета Каратузского района Красноярского края:    </w:t>
      </w:r>
    </w:p>
    <w:p>
      <w:pPr>
        <w:jc w:val="both"/>
        <w:rPr>
          <w:sz w:val="28"/>
          <w:szCs w:val="28"/>
        </w:rPr>
      </w:pPr>
    </w:p>
    <w:tbl>
      <w:tblPr>
        <w:tblStyle w:val="3"/>
        <w:tblW w:w="9528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92"/>
        <w:gridCol w:w="331"/>
        <w:gridCol w:w="415"/>
        <w:gridCol w:w="380"/>
        <w:gridCol w:w="436"/>
        <w:gridCol w:w="320"/>
        <w:gridCol w:w="532"/>
        <w:gridCol w:w="509"/>
        <w:gridCol w:w="581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7745</w:t>
            </w:r>
          </w:p>
        </w:tc>
        <w:tc>
          <w:tcPr>
            <w:tcW w:w="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(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за содействие развитию налогового потенциала</w:t>
            </w:r>
            <w:r>
              <w:rPr>
                <w:sz w:val="20"/>
                <w:szCs w:val="20"/>
              </w:rPr>
              <w:t>)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выполнением данного постановления возложить на главного бухгалтера    Радзюк М.Н.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3.Настоящее постановление вступает в силу со дня подписания и распространяется на правоотношения, возникшие с 01.01.2023 года.</w:t>
      </w:r>
    </w:p>
    <w:p>
      <w:pPr>
        <w:jc w:val="both"/>
        <w:rPr>
          <w:sz w:val="28"/>
          <w:szCs w:val="28"/>
        </w:rPr>
      </w:pPr>
    </w:p>
    <w:p>
      <w:pPr>
        <w:pStyle w:val="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r>
        <w:rPr>
          <w:sz w:val="28"/>
          <w:szCs w:val="28"/>
        </w:rPr>
        <w:t>Глава сельсовета                                                                          Г.В.Русова</w:t>
      </w:r>
    </w:p>
    <w:p/>
    <w:p/>
    <w:p/>
    <w:p/>
    <w:p/>
    <w:p/>
    <w:p/>
    <w:p>
      <w:bookmarkStart w:id="0" w:name="_GoBack"/>
      <w:bookmarkEnd w:id="0"/>
    </w:p>
    <w:p/>
    <w:sectPr>
      <w:pgSz w:w="11906" w:h="16838"/>
      <w:pgMar w:top="1134" w:right="991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A4BD7"/>
    <w:rsid w:val="7107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2023-12-12T03:13:00Z</dcterms:created>
  <dc:creator>admin</dc:creator>
  <cp:lastModifiedBy>admin</cp:lastModifiedBy>
  <dcterms:modified xsi:type="dcterms:W3CDTF">2023-12-12T03:43:12Z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9B63C9F40AB543EEA93076A83C8F0D4E_12</vt:lpwstr>
  </property>
</Properties>
</file>